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DB11ED" w:rsidRPr="005B1F24">
        <w:rPr>
          <w:rFonts w:ascii="Times New Roman" w:hAnsi="Times New Roman" w:cs="Times New Roman"/>
          <w:b/>
          <w:bCs/>
          <w:sz w:val="24"/>
          <w:szCs w:val="24"/>
        </w:rPr>
        <w:t>sprawy: 15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1835BC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F29EE"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="00CF29EE"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ul. </w:t>
      </w:r>
      <w:r w:rsidR="00DB11ED" w:rsidRPr="005B1F24">
        <w:rPr>
          <w:rFonts w:ascii="Times New Roman" w:hAnsi="Times New Roman" w:cs="Times New Roman"/>
          <w:sz w:val="24"/>
          <w:szCs w:val="24"/>
        </w:rPr>
        <w:t>Żeromskiego 51</w:t>
      </w:r>
      <w:r w:rsidRPr="005B1F24">
        <w:rPr>
          <w:rFonts w:ascii="Times New Roman" w:hAnsi="Times New Roman" w:cs="Times New Roman"/>
          <w:sz w:val="24"/>
          <w:szCs w:val="24"/>
        </w:rPr>
        <w:t>, 26-600 Radom, województwo: mazowieckie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REGON: 670725661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NIP: 948-11-47-246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Osoba uprawniona do kontaktu : Urszula Szczepaniak</w:t>
      </w:r>
    </w:p>
    <w:p w:rsidR="00CF29EE" w:rsidRPr="005B1F24" w:rsidRDefault="00DB11ED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B1F24">
        <w:rPr>
          <w:rFonts w:ascii="Times New Roman" w:hAnsi="Times New Roman" w:cs="Times New Roman"/>
          <w:sz w:val="24"/>
          <w:szCs w:val="24"/>
          <w:lang w:val="en-GB"/>
        </w:rPr>
        <w:t>Tel./</w:t>
      </w:r>
      <w:r w:rsidR="00CF29EE" w:rsidRPr="005B1F24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B1F24">
        <w:rPr>
          <w:rFonts w:ascii="Times New Roman" w:hAnsi="Times New Roman" w:cs="Times New Roman"/>
          <w:sz w:val="24"/>
          <w:szCs w:val="24"/>
          <w:lang w:val="en-GB"/>
        </w:rPr>
        <w:t>E-mail: u.szczepaniak@srcp.radom.pl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hyperlink r:id="rId8" w:history="1">
        <w:r w:rsidRPr="005B1F2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www.srcp.radom.pl</w:t>
        </w:r>
      </w:hyperlink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ab/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r w:rsidRPr="005B1F2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Przedmiot  zamówienia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Określenie przedmiotu zamówienia:</w:t>
      </w:r>
    </w:p>
    <w:p w:rsidR="00CF29EE" w:rsidRPr="005B1F24" w:rsidRDefault="001835BC" w:rsidP="00CF29EE">
      <w:p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35BC">
        <w:rPr>
          <w:rFonts w:ascii="Times New Roman" w:hAnsi="Times New Roman" w:cs="Times New Roman"/>
          <w:sz w:val="24"/>
          <w:szCs w:val="24"/>
        </w:rPr>
        <w:t>Zapytanie ofertowe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uczestnikom projektu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 xml:space="preserve"> „Niepełnosprawni na start! – wsparcie usamodzielniania osób niepełnosprawnych poprzez działania na rzecz ich zatrudniania” współfinansowanego przez Państwowy Fundusz Rehabilitacji Osób Niepełnosprawnych. </w:t>
      </w:r>
      <w:r w:rsidR="00CF29EE" w:rsidRPr="005B1F2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 warunkami opisanymi w Zapytaniu ofertowym. Informacje dotyczące wykonania Zamówienia, jak i tematyka oraz liczba uczestników zostały opisane w Szczegółowym opisie przedmiotu zamówienia stanowiącym załącznik nr 1 do niniejszego Zapytania Ofertowego.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 Liczba uczestników szkoleń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5 osób z województwa lubelskiego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Uczestnicy szkoleń –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osoby niepełnosprawne bezrobotne w wieku aktywności zawodowej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Miejsce realizacji szkoleń – miejscowość 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Lublin w województwie lubelskim.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Planowany realizacji szkoleń –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 - wrzesień 2016</w:t>
      </w:r>
    </w:p>
    <w:p w:rsidR="00CF29EE" w:rsidRPr="005B1F24" w:rsidRDefault="00CF29EE" w:rsidP="00CF29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CF29EE" w:rsidRPr="005B1F24" w:rsidRDefault="00CF29EE" w:rsidP="00CF29EE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80000000-4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edukacyjne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szkoleniowe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,</w:t>
      </w: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80530000-8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zawodowego</w:t>
      </w:r>
      <w:proofErr w:type="spellEnd"/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częściowych.</w:t>
      </w:r>
      <w:r w:rsidRPr="005B1F24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wariantowych.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WYKONANIA ZAMÓWIENIA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Wykonawca zobowiązuje się do zrealizowania zamówienia w terminie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 – wrzesień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2016 na każde zamówienie Zamawiającego w zależności od potrzeb zgłaszanych przez uczestników. W przypadku opóźnień wynikających z niezebrania grupy na szkolenia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– termin ten może ulec wydłużeniu.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CF29EE" w:rsidRPr="005B1F24" w:rsidRDefault="00CF29EE" w:rsidP="00CF29EE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Wykonawcy ubiegający się o zamówienie muszą spełniać poniższe wymagania: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posiadają wiedzę, umiejętności, odpowiednie uprawnienia oraz dysponują potencjałem technicznym i osobami zdolnymi do wykonania zamówienia,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posiadają wpis do rejestru instytucji szkoleniowych, zgodnie z miejscem prowadzonej działalności, 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spełniają warunki opisane w art. 2 pkt 3a ustawy z dnia 7 września 1991 r. o systemie oświaty (Dz. U. z 2004 r. Nr 256, poz. 2572, z </w:t>
      </w:r>
      <w:proofErr w:type="spellStart"/>
      <w:r w:rsidRPr="005B1F24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eastAsia="ar-SA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nie podlegają wykluczeniu z postępowania w rozumieniu przepisów art. 24 ustawy Prawo zamówień publicznych,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nie są powiązani osobowo lub kapitałowo z Zamawiającym.</w:t>
      </w: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spółce, jako wspólnik spółki cywilnej lub osobowej;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posiadaniu, co najmniej 10% udziałów lub akcji;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CF29EE" w:rsidRPr="005B1F24" w:rsidRDefault="00CF29EE" w:rsidP="00CF29EE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dokumenty: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Kopię wpisu do rejestru instytucji szkoleniowych lub stosowne oświadczenie w tym zakresie podpisane przez osoby uprawnione do składania oświadczeń woli w imieniu Oferenta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stosowne dokumenty (np. pełnomocnictwa) wskazujące na wspólne ubieganie się o zamówienie w przypadku Wykonawców składających Ofertę wspólną,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celu potwierdzenia spełniania warunków opisanych w pkt. 5 Zamawiający wymaga potwierdzenia oświadczeń zawartych w Ofercie.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załączniki do niej pod rygorem odrzucenia powinna zostać złożona w formie papierowej drogą pocztową lub doręczone osobiście do siedziby Zamawiającego.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5B1F24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Tryb udzielania wyjaśnień:</w:t>
      </w:r>
    </w:p>
    <w:p w:rsidR="00CF29EE" w:rsidRPr="005B1F24" w:rsidRDefault="00CF29EE" w:rsidP="00CF29EE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F29EE" w:rsidRPr="005B1F24" w:rsidRDefault="00CF29EE" w:rsidP="00CF29E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CF29EE" w:rsidRPr="005B1F24" w:rsidRDefault="00CF29EE" w:rsidP="00CF29EE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Urszula Szczepaniak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, Ul. Żeromskiego 51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, 26-600 Radom, tel. (48) 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360 00 46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Stowarzyszenie „Radomskie Centrum Przedsiębiorczości”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CF29EE" w:rsidRPr="005B1F24" w:rsidRDefault="00CF29EE" w:rsidP="00CF29E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CF29EE" w:rsidRPr="005B1F24" w:rsidRDefault="00CF29EE" w:rsidP="00CF29E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CF29EE" w:rsidRPr="005B1F24" w:rsidRDefault="00CF29EE" w:rsidP="00CF29EE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5B1F24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clear" w:pos="720"/>
          <w:tab w:val="num" w:pos="1080"/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Kościuszki 1, 26-600 Radom, województwo mazowieckie;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>15 - 2016/PFRON</w:t>
      </w:r>
      <w:r w:rsidR="001835B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31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maja 2016 r., godz. 15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1835B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dnia 31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maja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14:45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1835B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31</w:t>
      </w:r>
      <w:bookmarkStart w:id="0" w:name="_GoBack"/>
      <w:bookmarkEnd w:id="0"/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maja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15:00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5B1F24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F29EE" w:rsidRPr="005B1F24" w:rsidRDefault="00CF29EE" w:rsidP="00CF29EE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Ocena Oferty będzie dokonana wg następującego wzoru matematycznego: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gdzie: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UWAGA!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F29EE" w:rsidRPr="005B1F24" w:rsidRDefault="00CF29EE" w:rsidP="00CF29EE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CF29EE" w:rsidRPr="005B1F24" w:rsidRDefault="00CF29EE" w:rsidP="00CF29E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5B1F24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punktację dla poszczególnych Ofert, Zamawiający zastosuje zaokrąglenie do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dwóch miejsc po przecinku.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5B1F24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może unieważnić postępowanie w przypadku, gdy: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F29EE" w:rsidRPr="005B1F24" w:rsidRDefault="00CF29EE" w:rsidP="00CF29E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2 Szczegółowy Opis Przedmiotu Zamówienia</w:t>
      </w:r>
    </w:p>
    <w:p w:rsidR="00CF29EE" w:rsidRPr="005B1F24" w:rsidRDefault="00CF29EE" w:rsidP="00CF29E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B1F2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lang w:eastAsia="ar-SA"/>
          </w:rPr>
          <w:t>www.srcp.radom.pl</w:t>
        </w:r>
      </w:hyperlink>
      <w:r w:rsidRPr="005B1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CF29EE" w:rsidRPr="005B1F24" w:rsidRDefault="00CF29EE" w:rsidP="00CF29E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sz w:val="24"/>
          <w:szCs w:val="24"/>
        </w:rPr>
        <w:t>na przeprowadzenie warsztatów aktywizacji zawodowej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nazwisko/nazwa Oferenta: ………………………………………………………………...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…………………………………………..…………………………….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……………………………………………………………………………..………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CF29EE" w:rsidRPr="005B1F24" w:rsidRDefault="00CF29EE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B1F24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5B1F24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5B1F24" w:rsidRPr="005B1F24">
        <w:rPr>
          <w:rFonts w:ascii="Times New Roman" w:hAnsi="Times New Roman" w:cs="Times New Roman"/>
          <w:b/>
          <w:bCs/>
          <w:sz w:val="24"/>
          <w:szCs w:val="24"/>
        </w:rPr>
        <w:t>sprawy: 15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 </w:t>
      </w:r>
      <w:r w:rsidRPr="005B1F24">
        <w:rPr>
          <w:rFonts w:ascii="Times New Roman" w:eastAsia="Cambria" w:hAnsi="Times New Roman" w:cs="Times New Roman"/>
          <w:sz w:val="24"/>
          <w:szCs w:val="24"/>
        </w:rPr>
        <w:t>przedkładam niniejszą Ofertę na realizację następującej Zamówienia: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F29EE" w:rsidRPr="005B1F24" w:rsidTr="00C36D8B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B1F24">
              <w:rPr>
                <w:rFonts w:ascii="Times New Roman" w:eastAsia="Cambria" w:hAnsi="Times New Roman" w:cs="Times New Roman"/>
                <w:b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>Liczbowo: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 xml:space="preserve">Słownie: 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CF29EE" w:rsidRPr="005B1F24" w:rsidRDefault="00CF29EE" w:rsidP="00CF29EE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Oferuję kompleksowe wykonanie zamówienia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zgodnie z warunkami określonymi w Zapytaniu ofertowym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 wynagrodzeniem brutto w łącznej wysokości ...................................................złotych </w:t>
      </w:r>
    </w:p>
    <w:p w:rsidR="00CF29EE" w:rsidRPr="005B1F24" w:rsidRDefault="00CF29EE" w:rsidP="00CF29EE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zapoznałem się, dochowując należytej staranności z Zapytaniem ofertowym (wraz z załącznikami). Do Zapytania nie wnoszę żadnych zastrzeżeń i akceptuję jego treść.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CF29EE" w:rsidRPr="005B1F24" w:rsidRDefault="00CF29EE" w:rsidP="00CF29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jestem powiązany osobowo lub kapitałowo z Zamawiającym. </w:t>
      </w:r>
    </w:p>
    <w:p w:rsidR="00CF29EE" w:rsidRPr="005B1F24" w:rsidRDefault="00CF29EE" w:rsidP="00CF29EE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 jako wspólnik spółki cywilnej lub osobowej;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 udziałów lub co najmniej 10% akcji;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przypadku wyboru mojej oferty łączne zaangażowanie osoby/osób wyznaczonej/</w:t>
      </w:r>
      <w:proofErr w:type="spellStart"/>
      <w:r w:rsidRPr="005B1F24">
        <w:rPr>
          <w:rFonts w:ascii="Times New Roman" w:hAnsi="Times New Roman" w:cs="Times New Roman"/>
          <w:sz w:val="24"/>
          <w:szCs w:val="24"/>
          <w:lang w:eastAsia="ar-SA"/>
        </w:rPr>
        <w:t>nych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część.</w:t>
      </w: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(Podpis Wykonawcy)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SZCZEGÓŁOWY OPIS PRZEDMIOTU ZAMÓWIENIA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 mają być przeprowadzone zgodnie z zapisami Rozporządzenia Ministra Edukacji Narodowej z dnia 11 stycznia 2012 r. w sprawie kształcenia ustawicznego w formach pozaszkolnych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Kursy/szkolenia, mają umożliwić uzyskiwanie i uzupełnianie wiedzy, umiejętności i kwalifikacji zawodowych.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Wszyscy uczestnicy szkoleń/ kursów objętych niniejszym zapytaniem ofe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rtowym, mają otrzymać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zaświadczeni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>e o ukończeniu tego kursu zgodne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 wzorem stanowiącym załącznik nr 5 do w/w rozporządzenia.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do zapewnienia kadry dydaktycznej posiadającej kwalifikacje zawodowe odpowiednie do rodzaju prowadzonego kształcenia</w:t>
      </w:r>
    </w:p>
    <w:p w:rsidR="00CF29EE" w:rsidRPr="005B1F24" w:rsidRDefault="00683BBD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musi zapewnić: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odpowiednie pomieszczenia wyposażone w sprzęt i pomoce dydaktyczne umożliwiające prawidłową realizację kształcenia;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bezpieczne i higieniczne warunki pracy i nauki;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warunki organizacyjne i techniczne umożliwiające udział w kształceniu osobom niepełnosprawnym;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nadzór służący podnoszeniu jakości prowadzonego kształcenia.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w ramach niniejszego zapytania ofertowego mają być przeprowadzone dla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łącznie 5 osób niepełnosprawnych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mają zostać zrealizowane w okresie od maja do 30 września 2016 r. Szczegółowe terminy realizacji szkoleń/kursów muszą zostać uzgodnione z Zamawiającym i uwzględniać zapotrzebowanie składane przez uczestników 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dopuszcza indywidualną i grupową formę szkoleń/kursów, przy czym w przypadku szkoleń grupowych Zamawiający dopuszcza zwiększenie liczby godzin szkoleniowych w zależności od przewidzianej liczby godzin dla grupy (o ile nie zwiększa to przewidzianej zaproponowanej ceny oferty)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Miejsce szkoleń zlokalizowane w miejscowości Lublin w województwie lubelskim w budynku przystosowanym do osób niepełnosprawnych w odległości  nie większej niż 250 m od najbliższego przestanku komunikacji miejskiej.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musi zapewnić bezpłatny parking dla minimum 2 pojazdów (zlokalizowany nie dalej niż 50 m od budynku) oraz bezpłatny dostęp do sanitariatów i szatni;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Szkolenia/kursy mają uwzględniać niezbędne przerwy.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Po zrealizowaniu szkoleń Zamawiającemu mają być udostępnione kopie następujących dokumentów: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program nauczania;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dziennik zajęć;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protokół z przeprowadzonego zaliczenia;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ewidencję wydanych zaświadczeń obejmującą: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nazwisko, adres zamieszkania oraz numer PESEL osoby, której wydano zaświadczenie,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datę wydania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numer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</w:rPr>
        <w:t>potwierdzenie odbioru zaświadczenia.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Zamawiający zastrzega sobie prawo do prowadzenia monitoringu szkoleń/kursów, łącznie z fotografowaniem.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obowiązany jest wykonać zamówienie z zachowaniem najwyższej staranności.</w:t>
      </w:r>
    </w:p>
    <w:p w:rsidR="00CF29EE" w:rsidRPr="005B1F24" w:rsidRDefault="00CF29EE" w:rsidP="00CF29EE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TEMATY SZKOLEŃ:</w:t>
      </w:r>
    </w:p>
    <w:p w:rsidR="00CF29EE" w:rsidRPr="005B1F24" w:rsidRDefault="00CF29EE" w:rsidP="00CF29E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EE" w:rsidRPr="00683BBD" w:rsidRDefault="00D63D27" w:rsidP="00CF29EE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Szkolenie/kurs: </w:t>
      </w:r>
      <w:r w:rsidR="00CF29EE" w:rsidRPr="00683BBD">
        <w:rPr>
          <w:rFonts w:ascii="Times New Roman" w:hAnsi="Times New Roman" w:cs="Times New Roman"/>
          <w:b/>
          <w:sz w:val="24"/>
          <w:szCs w:val="24"/>
          <w:lang w:eastAsia="ar-SA"/>
        </w:rPr>
        <w:t>Kucharz małej gastronomii – 1 osoba / co najmniej 50 godzin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numPr>
          <w:ilvl w:val="3"/>
          <w:numId w:val="24"/>
        </w:numPr>
        <w:spacing w:after="0"/>
        <w:ind w:left="1560" w:hanging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b/>
          <w:sz w:val="24"/>
          <w:szCs w:val="24"/>
          <w:lang w:eastAsia="pl-PL"/>
        </w:rPr>
        <w:t>zajęcia teoretyczno-warsztatowe:</w:t>
      </w: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>organizacja stanowiska i miejsca pracy zgodnie z zasadami BHP,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>obsługa narzędzi, maszyn i urządzeń, które stanowią wyposażenie placówek gastronomicznych,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>charakterystyka procesów technologicznych,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>receptury gastronomiczne – przepisy kulinarne,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 xml:space="preserve">stosowanie zasad prawidłowego żywienia, 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 xml:space="preserve">zestawianie potraw w posiłki - śniadanie, obiad, kolacja, 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posiłków i układanie prostego menu w małej gastronomii, 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 xml:space="preserve">obróbka wstępna produktów - mięs, warzyw, nabiału, 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>obróbka termiczna produktów,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dokonywanie oceny jakościowej surowców, półproduktów i gotowych potraw, 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 xml:space="preserve">trendy w zakresie sporządzania receptur potraw i posługiwanie się nimi podczas wykonywania potraw, </w:t>
      </w:r>
    </w:p>
    <w:p w:rsidR="00CF29EE" w:rsidRPr="005B1F24" w:rsidRDefault="00CF29EE" w:rsidP="00CF29EE">
      <w:pPr>
        <w:pStyle w:val="Akapitzlist"/>
        <w:numPr>
          <w:ilvl w:val="0"/>
          <w:numId w:val="25"/>
        </w:numPr>
        <w:suppressAutoHyphens/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 nowoczesnych form przygotowania potraw dla obniżenia ich kosztów tworzenia, </w:t>
      </w:r>
    </w:p>
    <w:p w:rsidR="00CF29EE" w:rsidRPr="005B1F24" w:rsidRDefault="00CF29EE" w:rsidP="00CF29EE">
      <w:pPr>
        <w:pStyle w:val="Akapitzlist"/>
        <w:suppressAutoHyphens/>
        <w:spacing w:after="0"/>
        <w:ind w:left="184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29EE" w:rsidRPr="005B1F24" w:rsidRDefault="00CF29EE" w:rsidP="00CF29EE">
      <w:pPr>
        <w:pStyle w:val="Akapitzlist"/>
        <w:numPr>
          <w:ilvl w:val="3"/>
          <w:numId w:val="24"/>
        </w:numPr>
        <w:spacing w:after="0"/>
        <w:ind w:left="1560" w:hanging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F24">
        <w:rPr>
          <w:rFonts w:ascii="Times New Roman" w:hAnsi="Times New Roman"/>
          <w:b/>
          <w:bCs/>
          <w:sz w:val="24"/>
          <w:szCs w:val="24"/>
        </w:rPr>
        <w:t xml:space="preserve">organizowanie imprez okolicznościowych: </w:t>
      </w:r>
    </w:p>
    <w:p w:rsidR="00CF29EE" w:rsidRPr="005B1F24" w:rsidRDefault="00CF29EE" w:rsidP="00CF29EE">
      <w:pPr>
        <w:pStyle w:val="Akapitzlist"/>
        <w:spacing w:after="0"/>
        <w:ind w:left="156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F24">
        <w:rPr>
          <w:rFonts w:ascii="Times New Roman" w:hAnsi="Times New Roman"/>
          <w:sz w:val="24"/>
        </w:rPr>
        <w:t>organizacja usługi cateringowej zgodnie z przepisami i zasadami bezpieczeństwa i higieny pracy,</w:t>
      </w:r>
    </w:p>
    <w:p w:rsidR="00CF29EE" w:rsidRPr="005B1F24" w:rsidRDefault="00CF29EE" w:rsidP="00CF29EE">
      <w:pPr>
        <w:pStyle w:val="Akapitzlist"/>
        <w:numPr>
          <w:ilvl w:val="4"/>
          <w:numId w:val="24"/>
        </w:numPr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F24">
        <w:rPr>
          <w:rFonts w:ascii="Times New Roman" w:hAnsi="Times New Roman"/>
          <w:sz w:val="24"/>
        </w:rPr>
        <w:t xml:space="preserve">organizacja, planowanie i przeprowadzenie usług cateringowych w tym m.in.: bankietów, konferencji, szkoleń, imprez okolicznościowych, wesel, komunii, imprez plenerowych, firmowych, </w:t>
      </w:r>
    </w:p>
    <w:p w:rsidR="00CF29EE" w:rsidRPr="005B1F24" w:rsidRDefault="00CF29EE" w:rsidP="00CF29EE">
      <w:pPr>
        <w:pStyle w:val="Akapitzlist"/>
        <w:numPr>
          <w:ilvl w:val="4"/>
          <w:numId w:val="24"/>
        </w:numPr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F24">
        <w:rPr>
          <w:rFonts w:ascii="Times New Roman" w:hAnsi="Times New Roman"/>
          <w:sz w:val="24"/>
        </w:rPr>
        <w:t xml:space="preserve">aranżacje i prezentacje potraw, </w:t>
      </w:r>
    </w:p>
    <w:p w:rsidR="00CF29EE" w:rsidRPr="00D63D27" w:rsidRDefault="00CF29EE" w:rsidP="00D63D27">
      <w:pPr>
        <w:pStyle w:val="Akapitzlist"/>
        <w:numPr>
          <w:ilvl w:val="4"/>
          <w:numId w:val="24"/>
        </w:numPr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F24">
        <w:rPr>
          <w:rFonts w:ascii="Times New Roman" w:hAnsi="Times New Roman"/>
          <w:sz w:val="24"/>
        </w:rPr>
        <w:t xml:space="preserve">projektowanie i organizacja imprez, </w:t>
      </w:r>
    </w:p>
    <w:p w:rsidR="00CF29EE" w:rsidRPr="005B1F24" w:rsidRDefault="00CF29EE" w:rsidP="00CF29EE">
      <w:pPr>
        <w:pStyle w:val="Akapitzlist"/>
        <w:numPr>
          <w:ilvl w:val="4"/>
          <w:numId w:val="24"/>
        </w:numPr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F24">
        <w:rPr>
          <w:rFonts w:ascii="Times New Roman" w:hAnsi="Times New Roman"/>
          <w:sz w:val="24"/>
        </w:rPr>
        <w:t xml:space="preserve">dobór napojów alkoholowych do potraw, zasady sporządzania </w:t>
      </w:r>
      <w:r w:rsidRPr="005B1F24">
        <w:rPr>
          <w:rFonts w:ascii="Times New Roman" w:hAnsi="Times New Roman"/>
          <w:sz w:val="24"/>
        </w:rPr>
        <w:br/>
        <w:t xml:space="preserve">i serwowania napojów zimnych, </w:t>
      </w:r>
    </w:p>
    <w:p w:rsidR="00CF29EE" w:rsidRPr="005B1F24" w:rsidRDefault="00CF29EE" w:rsidP="00CF29EE">
      <w:pPr>
        <w:pStyle w:val="Akapitzlist"/>
        <w:numPr>
          <w:ilvl w:val="4"/>
          <w:numId w:val="24"/>
        </w:numPr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F24">
        <w:rPr>
          <w:rFonts w:ascii="Times New Roman" w:hAnsi="Times New Roman"/>
          <w:sz w:val="24"/>
        </w:rPr>
        <w:t xml:space="preserve">zasady przewozu wyrobów kulinarnych, </w:t>
      </w:r>
    </w:p>
    <w:p w:rsidR="00CF29EE" w:rsidRPr="005B1F24" w:rsidRDefault="00CF29EE" w:rsidP="00CF29EE">
      <w:pPr>
        <w:pStyle w:val="Akapitzlist"/>
        <w:numPr>
          <w:ilvl w:val="4"/>
          <w:numId w:val="24"/>
        </w:numPr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F24">
        <w:rPr>
          <w:rFonts w:ascii="Times New Roman" w:hAnsi="Times New Roman"/>
          <w:sz w:val="24"/>
        </w:rPr>
        <w:t xml:space="preserve">wyposażenie firmy cateringowej, </w:t>
      </w:r>
    </w:p>
    <w:p w:rsidR="00CF29EE" w:rsidRPr="005B1F24" w:rsidRDefault="00CF29EE" w:rsidP="00CF29EE">
      <w:pPr>
        <w:pStyle w:val="Akapitzlist"/>
        <w:numPr>
          <w:ilvl w:val="4"/>
          <w:numId w:val="24"/>
        </w:numPr>
        <w:spacing w:after="0"/>
        <w:ind w:left="1843" w:hanging="28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/>
          <w:sz w:val="24"/>
          <w:szCs w:val="24"/>
          <w:lang w:eastAsia="pl-PL"/>
        </w:rPr>
        <w:t>zajęcia warsztatowe z realizacji usługi cateringowej</w:t>
      </w:r>
    </w:p>
    <w:p w:rsidR="00CF29EE" w:rsidRPr="005B1F24" w:rsidRDefault="00CF29EE" w:rsidP="00CF29EE">
      <w:pPr>
        <w:pStyle w:val="Akapitzlist"/>
        <w:spacing w:after="0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29EE" w:rsidRPr="005B1F24" w:rsidRDefault="00D63D27" w:rsidP="00CF29EE">
      <w:pPr>
        <w:pStyle w:val="Akapitzlist"/>
        <w:numPr>
          <w:ilvl w:val="3"/>
          <w:numId w:val="24"/>
        </w:numPr>
        <w:spacing w:after="0"/>
        <w:ind w:left="1560" w:hanging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obsługa klienta: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</w:rPr>
      </w:pPr>
      <w:r w:rsidRPr="005B1F24">
        <w:rPr>
          <w:color w:val="auto"/>
          <w:szCs w:val="22"/>
        </w:rPr>
        <w:t>zajęcia warsztatowe z prawidłowego nakrycia stołu i</w:t>
      </w:r>
      <w:r w:rsidRPr="005B1F24">
        <w:rPr>
          <w:bCs/>
          <w:color w:val="auto"/>
        </w:rPr>
        <w:t xml:space="preserve"> artystycznego składania serwetek papierowych, materiałowych, flizelinowych,</w:t>
      </w:r>
    </w:p>
    <w:p w:rsidR="00CF29EE" w:rsidRPr="005B1F24" w:rsidRDefault="00CF29EE" w:rsidP="005B1F24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</w:rPr>
      </w:pPr>
      <w:r w:rsidRPr="005B1F24">
        <w:rPr>
          <w:bCs/>
          <w:color w:val="auto"/>
          <w:szCs w:val="22"/>
        </w:rPr>
        <w:t>zajęcia warsztatowe z obsługi ekspresu ciśnieniowego i przygotowywania różnego rodzaju kawy.</w:t>
      </w:r>
    </w:p>
    <w:p w:rsidR="00CF29EE" w:rsidRPr="005B1F24" w:rsidRDefault="00CF29EE" w:rsidP="00CF29EE">
      <w:pPr>
        <w:pStyle w:val="Default"/>
        <w:spacing w:line="276" w:lineRule="auto"/>
        <w:ind w:left="1843"/>
        <w:jc w:val="both"/>
        <w:rPr>
          <w:color w:val="auto"/>
          <w:u w:val="single"/>
        </w:rPr>
      </w:pPr>
    </w:p>
    <w:p w:rsidR="005B1F24" w:rsidRPr="005B1F24" w:rsidRDefault="005B1F24" w:rsidP="00CF29EE">
      <w:pPr>
        <w:pStyle w:val="Default"/>
        <w:spacing w:line="276" w:lineRule="auto"/>
        <w:ind w:left="1843"/>
        <w:jc w:val="both"/>
        <w:rPr>
          <w:color w:val="auto"/>
          <w:u w:val="single"/>
        </w:rPr>
      </w:pPr>
    </w:p>
    <w:p w:rsidR="00CF29EE" w:rsidRDefault="00683BBD" w:rsidP="00CF29EE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Szkolenie</w:t>
      </w:r>
      <w:r w:rsidR="00D63D27">
        <w:rPr>
          <w:rFonts w:ascii="Times New Roman" w:hAnsi="Times New Roman" w:cs="Times New Roman"/>
          <w:b/>
          <w:sz w:val="24"/>
          <w:szCs w:val="24"/>
          <w:lang w:eastAsia="ar-SA"/>
        </w:rPr>
        <w:t>/kurs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Pracownik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administracyjno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biurowy: </w:t>
      </w:r>
      <w:r w:rsidR="00CF29EE"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2 osoby x 36 godzin</w:t>
      </w:r>
    </w:p>
    <w:p w:rsidR="00683BBD" w:rsidRDefault="00683BBD" w:rsidP="00683BBD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83BBD" w:rsidRPr="00683BBD" w:rsidRDefault="00683BBD" w:rsidP="00683BBD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3BBD">
        <w:rPr>
          <w:rFonts w:ascii="Times New Roman" w:hAnsi="Times New Roman" w:cs="Times New Roman"/>
          <w:sz w:val="24"/>
          <w:szCs w:val="24"/>
          <w:lang w:eastAsia="ar-SA"/>
        </w:rPr>
        <w:t>Jedynym z uczestników będzie osoba niedosłysząca, biegle czytająca z ruchu warg, nie wymagająca tłumaczenia migowego, wymagająca jednak indywidualnego podejścia trenera.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Elementy prawa administracyjnego - 12 godzin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administracja publiczna, prawo administracyjne, podstawowe pojęcia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źródła prawa administracyjnego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akt administracyjny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postępowanie administracyjne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sądowa kontrola decyzji i postanowień</w:t>
      </w:r>
    </w:p>
    <w:p w:rsidR="00CF29EE" w:rsidRPr="005B1F24" w:rsidRDefault="00CF29EE" w:rsidP="00CF29EE">
      <w:pPr>
        <w:pStyle w:val="Akapitzlist"/>
        <w:spacing w:after="0"/>
        <w:ind w:left="19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EE" w:rsidRPr="005B1F24" w:rsidRDefault="00CF29EE" w:rsidP="00CF29EE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 i archiwizacja - 4 godziny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Przegląd wymagań prawnych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Kategorie archiwalne, rodzaje archiwów, archiwizacja dokumentacji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Sposoby bezpiecznego gromadzenia dokumentów oraz innych nośników informacji (dyskietki, CD, dyski)</w:t>
      </w:r>
    </w:p>
    <w:p w:rsidR="00CF29EE" w:rsidRPr="005B1F24" w:rsidRDefault="00CF29EE" w:rsidP="00CF29EE">
      <w:pPr>
        <w:pStyle w:val="Default"/>
        <w:numPr>
          <w:ilvl w:val="0"/>
          <w:numId w:val="26"/>
        </w:numPr>
        <w:spacing w:line="276" w:lineRule="auto"/>
        <w:ind w:left="1843" w:hanging="283"/>
        <w:jc w:val="both"/>
        <w:rPr>
          <w:color w:val="auto"/>
          <w:szCs w:val="22"/>
        </w:rPr>
      </w:pPr>
      <w:r w:rsidRPr="005B1F24">
        <w:rPr>
          <w:color w:val="auto"/>
          <w:szCs w:val="22"/>
        </w:rPr>
        <w:t>Sposoby bezpiecznego niszczenia dokumentów oraz innych nośników informacji (dyskietki, CD, dyski)</w:t>
      </w:r>
    </w:p>
    <w:p w:rsidR="00CF29EE" w:rsidRPr="005B1F24" w:rsidRDefault="00CF29EE" w:rsidP="00CF29EE">
      <w:pPr>
        <w:pStyle w:val="Default"/>
        <w:spacing w:line="276" w:lineRule="auto"/>
        <w:ind w:left="1843"/>
        <w:jc w:val="both"/>
        <w:rPr>
          <w:color w:val="auto"/>
          <w:szCs w:val="22"/>
        </w:rPr>
      </w:pPr>
    </w:p>
    <w:p w:rsidR="00CF29EE" w:rsidRPr="005B1F24" w:rsidRDefault="00CF29EE" w:rsidP="00CF29EE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Redagowanie pism i listów, pisanie raportów (ćwiczenia) - 12 godzin</w:t>
      </w:r>
    </w:p>
    <w:p w:rsidR="00CF29EE" w:rsidRPr="005B1F24" w:rsidRDefault="00CF29EE" w:rsidP="00CF29EE">
      <w:pPr>
        <w:spacing w:before="100" w:beforeAutospacing="1" w:after="15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m. in.:</w:t>
      </w: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na komputerze w programie: edytor tekstu - MS Word, w tym co najmniej: rodzaje formularzy i blankietów korespondencyjnych, układy graficzne pism, zasady sporządzania pism, protokołów, sprawozdań, notatek służbowych, formy i zasady sporządzania zaproszeń, skróty i skrótowce w korespondencji, rozmieszczenia poszczególnych elementów pisma urzędowego, korespondencja procesowa.</w:t>
      </w:r>
    </w:p>
    <w:p w:rsidR="00CF29EE" w:rsidRPr="005B1F24" w:rsidRDefault="00CF29EE" w:rsidP="00CF29EE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Technika biurowa (ćwiczenia) - 8 godzin</w:t>
      </w:r>
    </w:p>
    <w:p w:rsidR="00CF29EE" w:rsidRPr="005B1F24" w:rsidRDefault="00CF29EE" w:rsidP="00CF29EE">
      <w:pPr>
        <w:spacing w:before="100" w:beforeAutospacing="1" w:after="15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obejmuje zajęcia praktyczne z obsługi urządzeń biurowych i wykorzystania komputera w sekretariacie, m.in. projektory multimedialne, rzutniki pisma, telefony, telefaksy, skanery, drukarki, kserokopiarki, urządzenia wielofunkcyjne, </w:t>
      </w:r>
      <w:proofErr w:type="spellStart"/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bindownice</w:t>
      </w:r>
      <w:proofErr w:type="spellEnd"/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sposoby oprawy dokumentów, elektroniczny obieg dokumentów.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5B1F24" w:rsidP="00CF29EE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Szkolenie/kurs nt. pisania projektów z funduszy unijnych i krajowych: </w:t>
      </w:r>
      <w:r w:rsidR="00CF29EE"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 osoby x 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32h</w:t>
      </w:r>
    </w:p>
    <w:p w:rsidR="005B1F24" w:rsidRPr="005B1F24" w:rsidRDefault="005B1F24" w:rsidP="005B1F24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1F24" w:rsidRPr="005B1F24" w:rsidRDefault="005B1F24" w:rsidP="005B1F24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obejmować ma część teoretyczną dotyczącą możliwości finansowania projektów w ramach różnych funduszy UE i krajowych oraz praktyczną dotyczącą uzupełniania wniosków aplikacyjnych, ich ocenę formalną i merytoryczną.</w:t>
      </w:r>
    </w:p>
    <w:p w:rsidR="00CF29EE" w:rsidRPr="005B1F24" w:rsidRDefault="00CF29EE" w:rsidP="00CF29EE">
      <w:pPr>
        <w:spacing w:after="0"/>
      </w:pPr>
    </w:p>
    <w:p w:rsidR="005B1F24" w:rsidRPr="005B1F24" w:rsidRDefault="00477EB3" w:rsidP="005B1F24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Program Operacyjny Wiedza Edukacja Rozwój" w:history="1">
        <w:r w:rsidR="005B1F24" w:rsidRPr="005B1F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Program Operacyjny Wiedza, Edukacja, Rozwój</w:t>
        </w:r>
      </w:hyperlink>
      <w:r w:rsidR="005B1F24"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B1F24" w:rsidRPr="005B1F24" w:rsidRDefault="005B1F24" w:rsidP="005B1F24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Lubelskiego</w:t>
      </w:r>
    </w:p>
    <w:p w:rsidR="005B1F24" w:rsidRPr="005B1F24" w:rsidRDefault="005B1F24" w:rsidP="005B1F24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Inicjatyw Obywatelskich</w:t>
      </w:r>
    </w:p>
    <w:p w:rsidR="005B1F24" w:rsidRPr="005B1F24" w:rsidRDefault="005B1F24" w:rsidP="005B1F24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Rządowy Program na rzecz Aktywności Społecznej Osób Starszych</w:t>
      </w:r>
    </w:p>
    <w:p w:rsidR="00DA264B" w:rsidRPr="00683BBD" w:rsidRDefault="005B1F24" w:rsidP="00683BBD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PFRON</w:t>
      </w:r>
    </w:p>
    <w:sectPr w:rsidR="00DA264B" w:rsidRPr="00683BBD" w:rsidSect="00225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B3" w:rsidRDefault="00477EB3" w:rsidP="00DC3667">
      <w:pPr>
        <w:spacing w:after="0" w:line="240" w:lineRule="auto"/>
      </w:pPr>
      <w:r>
        <w:separator/>
      </w:r>
    </w:p>
  </w:endnote>
  <w:endnote w:type="continuationSeparator" w:id="0">
    <w:p w:rsidR="00477EB3" w:rsidRDefault="00477EB3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TripleSevenPL-Roman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EB3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B3" w:rsidRDefault="00477EB3" w:rsidP="00DC3667">
      <w:pPr>
        <w:spacing w:after="0" w:line="240" w:lineRule="auto"/>
      </w:pPr>
      <w:r>
        <w:separator/>
      </w:r>
    </w:p>
  </w:footnote>
  <w:footnote w:type="continuationSeparator" w:id="0">
    <w:p w:rsidR="00477EB3" w:rsidRDefault="00477EB3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477EB3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717A4"/>
    <w:multiLevelType w:val="hybridMultilevel"/>
    <w:tmpl w:val="2A520276"/>
    <w:lvl w:ilvl="0" w:tplc="7046A746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E62C24"/>
    <w:multiLevelType w:val="hybridMultilevel"/>
    <w:tmpl w:val="45BA54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A4CA3"/>
    <w:multiLevelType w:val="hybridMultilevel"/>
    <w:tmpl w:val="95729A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60BB1"/>
    <w:multiLevelType w:val="hybridMultilevel"/>
    <w:tmpl w:val="9C04E55C"/>
    <w:lvl w:ilvl="0" w:tplc="6AA8501C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B">
      <w:start w:val="1"/>
      <w:numFmt w:val="lowerRoman"/>
      <w:lvlText w:val="%3."/>
      <w:lvlJc w:val="right"/>
      <w:pPr>
        <w:ind w:left="1074" w:hanging="180"/>
      </w:pPr>
    </w:lvl>
    <w:lvl w:ilvl="3" w:tplc="04150017">
      <w:start w:val="1"/>
      <w:numFmt w:val="lowerLetter"/>
      <w:lvlText w:val="%4)"/>
      <w:lvlJc w:val="left"/>
      <w:pPr>
        <w:ind w:left="1920" w:hanging="360"/>
      </w:pPr>
      <w:rPr>
        <w:b/>
      </w:rPr>
    </w:lvl>
    <w:lvl w:ilvl="4" w:tplc="060C5280">
      <w:start w:val="1"/>
      <w:numFmt w:val="bullet"/>
      <w:lvlText w:val="-"/>
      <w:lvlJc w:val="left"/>
      <w:pPr>
        <w:ind w:left="2514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16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3F0502"/>
    <w:multiLevelType w:val="hybridMultilevel"/>
    <w:tmpl w:val="A9862344"/>
    <w:lvl w:ilvl="0" w:tplc="7046A746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09F7423"/>
    <w:multiLevelType w:val="hybridMultilevel"/>
    <w:tmpl w:val="6F465C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6A811208"/>
    <w:multiLevelType w:val="hybridMultilevel"/>
    <w:tmpl w:val="E5966986"/>
    <w:lvl w:ilvl="0" w:tplc="0415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8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5"/>
  </w:num>
  <w:num w:numId="19">
    <w:abstractNumId w:val="28"/>
  </w:num>
  <w:num w:numId="20">
    <w:abstractNumId w:val="1"/>
  </w:num>
  <w:num w:numId="21">
    <w:abstractNumId w:val="23"/>
  </w:num>
  <w:num w:numId="22">
    <w:abstractNumId w:val="24"/>
  </w:num>
  <w:num w:numId="23">
    <w:abstractNumId w:val="19"/>
  </w:num>
  <w:num w:numId="24">
    <w:abstractNumId w:val="15"/>
  </w:num>
  <w:num w:numId="25">
    <w:abstractNumId w:val="17"/>
  </w:num>
  <w:num w:numId="26">
    <w:abstractNumId w:val="4"/>
  </w:num>
  <w:num w:numId="27">
    <w:abstractNumId w:val="10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E"/>
    <w:rsid w:val="00082DED"/>
    <w:rsid w:val="000A43F3"/>
    <w:rsid w:val="000B6921"/>
    <w:rsid w:val="001835BC"/>
    <w:rsid w:val="00191E6B"/>
    <w:rsid w:val="00225979"/>
    <w:rsid w:val="00477EB3"/>
    <w:rsid w:val="00524E31"/>
    <w:rsid w:val="005B1F24"/>
    <w:rsid w:val="005E22A9"/>
    <w:rsid w:val="00605359"/>
    <w:rsid w:val="00683BBD"/>
    <w:rsid w:val="006E038F"/>
    <w:rsid w:val="007F0130"/>
    <w:rsid w:val="00AC2137"/>
    <w:rsid w:val="00AD0CE9"/>
    <w:rsid w:val="00CF03AE"/>
    <w:rsid w:val="00CF29EE"/>
    <w:rsid w:val="00D63D27"/>
    <w:rsid w:val="00DA264B"/>
    <w:rsid w:val="00DA6C76"/>
    <w:rsid w:val="00DB11ED"/>
    <w:rsid w:val="00DC3667"/>
    <w:rsid w:val="00E03493"/>
    <w:rsid w:val="00E810AB"/>
    <w:rsid w:val="00E841B2"/>
    <w:rsid w:val="00F078BA"/>
    <w:rsid w:val="00FA0BD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.wikipedia.org/wiki/Program_Operacyjny_Wiedza_Edukacja_Rozw%C3%B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102</TotalTime>
  <Pages>14</Pages>
  <Words>4384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2016-01-04T10:56:00Z</cp:lastPrinted>
  <dcterms:created xsi:type="dcterms:W3CDTF">2016-05-20T08:45:00Z</dcterms:created>
  <dcterms:modified xsi:type="dcterms:W3CDTF">2016-05-20T12:11:00Z</dcterms:modified>
</cp:coreProperties>
</file>